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6D" w:rsidRPr="00360748" w:rsidRDefault="00772B6D" w:rsidP="00772B6D">
      <w:pPr>
        <w:rPr>
          <w:rFonts w:ascii="PMingLiU-ExtB" w:eastAsia="PMingLiU-ExtB" w:hAnsi="PMingLiU-ExtB"/>
          <w:b/>
          <w:sz w:val="24"/>
          <w:szCs w:val="24"/>
          <w:lang w:val="en-US"/>
        </w:rPr>
      </w:pPr>
      <w:r w:rsidRPr="00360748">
        <w:rPr>
          <w:rFonts w:ascii="PMingLiU-ExtB" w:eastAsia="PMingLiU-ExtB" w:hAnsi="PMingLiU-ExtB" w:hint="eastAsia"/>
          <w:b/>
          <w:sz w:val="24"/>
          <w:szCs w:val="24"/>
          <w:lang w:val="en-US"/>
        </w:rPr>
        <w:t>Voluntary Provident Fund</w:t>
      </w:r>
      <w:r w:rsidRPr="00360748">
        <w:rPr>
          <w:rFonts w:ascii="PMingLiU-ExtB" w:eastAsia="PMingLiU-ExtB" w:hAnsi="PMingLiU-ExtB"/>
          <w:b/>
          <w:sz w:val="24"/>
          <w:szCs w:val="24"/>
          <w:lang w:val="en-US"/>
        </w:rPr>
        <w:t xml:space="preserve"> (VPF)</w:t>
      </w:r>
    </w:p>
    <w:p w:rsidR="00772B6D" w:rsidRDefault="00772B6D" w:rsidP="00772B6D">
      <w:pPr>
        <w:rPr>
          <w:rFonts w:ascii="PMingLiU-ExtB" w:eastAsia="PMingLiU-ExtB" w:hAnsi="PMingLiU-ExtB"/>
          <w:sz w:val="24"/>
          <w:szCs w:val="24"/>
          <w:lang w:val="en-US"/>
        </w:rPr>
      </w:pPr>
    </w:p>
    <w:p w:rsidR="00772B6D" w:rsidRDefault="00772B6D" w:rsidP="00772B6D">
      <w:pPr>
        <w:jc w:val="both"/>
        <w:rPr>
          <w:rFonts w:ascii="PMingLiU-ExtB" w:eastAsia="PMingLiU-ExtB" w:hAnsi="PMingLiU-ExtB"/>
          <w:sz w:val="24"/>
          <w:szCs w:val="24"/>
          <w:lang w:val="en-US"/>
        </w:rPr>
      </w:pPr>
      <w:r>
        <w:rPr>
          <w:rFonts w:ascii="PMingLiU-ExtB" w:eastAsia="PMingLiU-ExtB" w:hAnsi="PMingLiU-ExtB" w:hint="eastAsia"/>
          <w:sz w:val="24"/>
          <w:szCs w:val="24"/>
          <w:lang w:val="en-US"/>
        </w:rPr>
        <w:t xml:space="preserve">The EPF allows an employee to contribute more than 12% of the EPF Wages. Any contribution over and above 12% of EPF Wages is being termed as VPF (Voluntary Provident Fund). EPF Wage shall be the wage on which employer is deducting PF on monthly basis and depositing the same with the Office of EPFO/Trust. An employee can opt for a maximum of 88% of EPF Wages as VPF. VPF is reflected </w:t>
      </w:r>
      <w:r>
        <w:rPr>
          <w:rFonts w:ascii="PMingLiU-ExtB" w:eastAsia="PMingLiU-ExtB" w:hAnsi="PMingLiU-ExtB"/>
          <w:sz w:val="24"/>
          <w:szCs w:val="24"/>
          <w:lang w:val="en-US"/>
        </w:rPr>
        <w:t>as</w:t>
      </w:r>
      <w:r>
        <w:rPr>
          <w:rFonts w:ascii="PMingLiU-ExtB" w:eastAsia="PMingLiU-ExtB" w:hAnsi="PMingLiU-ExtB" w:hint="eastAsia"/>
          <w:sz w:val="24"/>
          <w:szCs w:val="24"/>
          <w:lang w:val="en-US"/>
        </w:rPr>
        <w:t xml:space="preserve"> employee share, in the passbook, along with 12% of the amount deducted by the employer as statutory deduction. </w:t>
      </w:r>
    </w:p>
    <w:p w:rsidR="00360748" w:rsidRDefault="00360748" w:rsidP="00772B6D">
      <w:pPr>
        <w:jc w:val="both"/>
        <w:rPr>
          <w:rFonts w:ascii="PMingLiU-ExtB" w:eastAsia="PMingLiU-ExtB" w:hAnsi="PMingLiU-ExtB"/>
          <w:sz w:val="24"/>
          <w:szCs w:val="24"/>
          <w:lang w:val="en-US"/>
        </w:rPr>
      </w:pPr>
    </w:p>
    <w:p w:rsidR="009A4CA6" w:rsidRDefault="009A4CA6"/>
    <w:p w:rsidR="00772B6D" w:rsidRPr="00360748" w:rsidRDefault="00772B6D" w:rsidP="00772B6D">
      <w:pPr>
        <w:rPr>
          <w:rFonts w:ascii="PMingLiU-ExtB" w:eastAsia="PMingLiU-ExtB" w:hAnsi="PMingLiU-ExtB"/>
          <w:b/>
          <w:sz w:val="24"/>
          <w:szCs w:val="24"/>
          <w:lang w:val="en-US"/>
        </w:rPr>
      </w:pPr>
      <w:r w:rsidRPr="00360748">
        <w:rPr>
          <w:rFonts w:ascii="PMingLiU-ExtB" w:eastAsia="PMingLiU-ExtB" w:hAnsi="PMingLiU-ExtB" w:hint="eastAsia"/>
          <w:b/>
          <w:sz w:val="24"/>
          <w:szCs w:val="24"/>
          <w:lang w:val="en-US"/>
        </w:rPr>
        <w:t xml:space="preserve">How can I contribute to </w:t>
      </w:r>
      <w:proofErr w:type="gramStart"/>
      <w:r w:rsidRPr="00360748">
        <w:rPr>
          <w:rFonts w:ascii="PMingLiU-ExtB" w:eastAsia="PMingLiU-ExtB" w:hAnsi="PMingLiU-ExtB" w:hint="eastAsia"/>
          <w:b/>
          <w:sz w:val="24"/>
          <w:szCs w:val="24"/>
          <w:lang w:val="en-US"/>
        </w:rPr>
        <w:t>VPF</w:t>
      </w:r>
      <w:proofErr w:type="gramEnd"/>
    </w:p>
    <w:p w:rsidR="00772B6D" w:rsidRDefault="00772B6D" w:rsidP="00772B6D">
      <w:pPr>
        <w:rPr>
          <w:rFonts w:ascii="PMingLiU-ExtB" w:eastAsia="PMingLiU-ExtB" w:hAnsi="PMingLiU-ExtB"/>
          <w:sz w:val="24"/>
          <w:szCs w:val="24"/>
          <w:lang w:val="en-US"/>
        </w:rPr>
      </w:pPr>
    </w:p>
    <w:p w:rsidR="00772B6D" w:rsidRDefault="00772B6D" w:rsidP="00772B6D">
      <w:pPr>
        <w:rPr>
          <w:rFonts w:ascii="PMingLiU-ExtB" w:eastAsia="PMingLiU-ExtB" w:hAnsi="PMingLiU-ExtB"/>
          <w:sz w:val="24"/>
          <w:szCs w:val="24"/>
          <w:lang w:val="en-US"/>
        </w:rPr>
      </w:pPr>
      <w:r>
        <w:rPr>
          <w:rFonts w:ascii="PMingLiU-ExtB" w:eastAsia="PMingLiU-ExtB" w:hAnsi="PMingLiU-ExtB"/>
          <w:sz w:val="24"/>
          <w:szCs w:val="24"/>
          <w:lang w:val="en-US"/>
        </w:rPr>
        <w:t>It is a very simple process</w:t>
      </w:r>
      <w:r>
        <w:rPr>
          <w:rFonts w:ascii="PMingLiU-ExtB" w:eastAsia="PMingLiU-ExtB" w:hAnsi="PMingLiU-ExtB" w:hint="eastAsia"/>
          <w:sz w:val="24"/>
          <w:szCs w:val="24"/>
          <w:lang w:val="en-US"/>
        </w:rPr>
        <w:t xml:space="preserve">. You need to connect to your HR to find out if there is a form or declaration (offline and online) to be filled up and provided. Once done than the employer will deduct the VPF and deposit the same </w:t>
      </w:r>
      <w:r>
        <w:rPr>
          <w:rFonts w:ascii="PMingLiU-ExtB" w:eastAsia="PMingLiU-ExtB" w:hAnsi="PMingLiU-ExtB"/>
          <w:sz w:val="24"/>
          <w:szCs w:val="24"/>
          <w:lang w:val="en-US"/>
        </w:rPr>
        <w:t>with PF authorities a</w:t>
      </w:r>
      <w:r>
        <w:rPr>
          <w:rFonts w:ascii="PMingLiU-ExtB" w:eastAsia="PMingLiU-ExtB" w:hAnsi="PMingLiU-ExtB" w:hint="eastAsia"/>
          <w:sz w:val="24"/>
          <w:szCs w:val="24"/>
          <w:lang w:val="en-US"/>
        </w:rPr>
        <w:t xml:space="preserve">long with the </w:t>
      </w:r>
      <w:r>
        <w:rPr>
          <w:rFonts w:ascii="PMingLiU-ExtB" w:eastAsia="PMingLiU-ExtB" w:hAnsi="PMingLiU-ExtB"/>
          <w:sz w:val="24"/>
          <w:szCs w:val="24"/>
          <w:lang w:val="en-US"/>
        </w:rPr>
        <w:t>amount the statutory dues</w:t>
      </w:r>
      <w:r>
        <w:rPr>
          <w:rFonts w:ascii="PMingLiU-ExtB" w:eastAsia="PMingLiU-ExtB" w:hAnsi="PMingLiU-ExtB" w:hint="eastAsia"/>
          <w:sz w:val="24"/>
          <w:szCs w:val="24"/>
          <w:lang w:val="en-US"/>
        </w:rPr>
        <w:t>.</w:t>
      </w:r>
    </w:p>
    <w:p w:rsidR="00772B6D" w:rsidRDefault="00772B6D"/>
    <w:p w:rsidR="00772B6D" w:rsidRDefault="00772B6D" w:rsidP="00772B6D">
      <w:pPr>
        <w:rPr>
          <w:rFonts w:ascii="PMingLiU-ExtB" w:eastAsia="PMingLiU-ExtB" w:hAnsi="PMingLiU-ExtB"/>
          <w:sz w:val="24"/>
          <w:szCs w:val="24"/>
          <w:lang w:val="en-US"/>
        </w:rPr>
      </w:pPr>
    </w:p>
    <w:p w:rsidR="00772B6D" w:rsidRPr="00360748" w:rsidRDefault="00772B6D" w:rsidP="00772B6D">
      <w:pPr>
        <w:rPr>
          <w:rFonts w:ascii="PMingLiU-ExtB" w:eastAsia="PMingLiU-ExtB" w:hAnsi="PMingLiU-ExtB"/>
          <w:b/>
          <w:sz w:val="24"/>
          <w:szCs w:val="24"/>
          <w:lang w:val="en-US"/>
        </w:rPr>
      </w:pPr>
      <w:r w:rsidRPr="00360748">
        <w:rPr>
          <w:rFonts w:ascii="PMingLiU-ExtB" w:eastAsia="PMingLiU-ExtB" w:hAnsi="PMingLiU-ExtB" w:hint="eastAsia"/>
          <w:b/>
          <w:sz w:val="24"/>
          <w:szCs w:val="24"/>
          <w:lang w:val="en-US"/>
        </w:rPr>
        <w:t>Tax Benefits for VPF</w:t>
      </w:r>
    </w:p>
    <w:p w:rsidR="00772B6D" w:rsidRDefault="00772B6D" w:rsidP="00772B6D">
      <w:pPr>
        <w:rPr>
          <w:rFonts w:ascii="PMingLiU-ExtB" w:eastAsia="PMingLiU-ExtB" w:hAnsi="PMingLiU-ExtB"/>
          <w:sz w:val="24"/>
          <w:szCs w:val="24"/>
          <w:lang w:val="en-US"/>
        </w:rPr>
      </w:pPr>
    </w:p>
    <w:p w:rsidR="00772B6D" w:rsidRDefault="00772B6D" w:rsidP="00772B6D">
      <w:pPr>
        <w:rPr>
          <w:rFonts w:ascii="PMingLiU-ExtB" w:eastAsia="PMingLiU-ExtB" w:hAnsi="PMingLiU-ExtB"/>
          <w:sz w:val="24"/>
          <w:szCs w:val="24"/>
          <w:lang w:val="en-US"/>
        </w:rPr>
      </w:pPr>
      <w:r>
        <w:rPr>
          <w:rFonts w:ascii="PMingLiU-ExtB" w:eastAsia="PMingLiU-ExtB" w:hAnsi="PMingLiU-ExtB" w:hint="eastAsia"/>
          <w:sz w:val="24"/>
          <w:szCs w:val="24"/>
          <w:lang w:val="en-US"/>
        </w:rPr>
        <w:t xml:space="preserve">Any contribution by an employee towards VPF is eligible for deduction under Chapter VI </w:t>
      </w:r>
      <w:proofErr w:type="gramStart"/>
      <w:r>
        <w:rPr>
          <w:rFonts w:ascii="PMingLiU-ExtB" w:eastAsia="PMingLiU-ExtB" w:hAnsi="PMingLiU-ExtB" w:hint="eastAsia"/>
          <w:sz w:val="24"/>
          <w:szCs w:val="24"/>
          <w:lang w:val="en-US"/>
        </w:rPr>
        <w:t>A</w:t>
      </w:r>
      <w:proofErr w:type="gramEnd"/>
      <w:r>
        <w:rPr>
          <w:rFonts w:ascii="PMingLiU-ExtB" w:eastAsia="PMingLiU-ExtB" w:hAnsi="PMingLiU-ExtB" w:hint="eastAsia"/>
          <w:sz w:val="24"/>
          <w:szCs w:val="24"/>
          <w:lang w:val="en-US"/>
        </w:rPr>
        <w:t xml:space="preserve"> Section 80 C of The Income Tax Act 1961. The Maximum limit of deduction under section 80C is INR</w:t>
      </w:r>
      <w:r>
        <w:rPr>
          <w:rFonts w:ascii="PMingLiU-ExtB" w:eastAsia="PMingLiU-ExtB" w:hAnsi="PMingLiU-ExtB"/>
          <w:sz w:val="24"/>
          <w:szCs w:val="24"/>
          <w:lang w:val="en-US"/>
        </w:rPr>
        <w:t xml:space="preserve"> </w:t>
      </w:r>
      <w:r>
        <w:rPr>
          <w:rFonts w:ascii="PMingLiU-ExtB" w:eastAsia="PMingLiU-ExtB" w:hAnsi="PMingLiU-ExtB" w:hint="eastAsia"/>
          <w:sz w:val="24"/>
          <w:szCs w:val="24"/>
          <w:lang w:val="en-US"/>
        </w:rPr>
        <w:t xml:space="preserve">1.50 lakh from </w:t>
      </w:r>
      <w:proofErr w:type="gramStart"/>
      <w:r>
        <w:rPr>
          <w:rFonts w:ascii="PMingLiU-ExtB" w:eastAsia="PMingLiU-ExtB" w:hAnsi="PMingLiU-ExtB" w:hint="eastAsia"/>
          <w:sz w:val="24"/>
          <w:szCs w:val="24"/>
          <w:lang w:val="en-US"/>
        </w:rPr>
        <w:t>Financial</w:t>
      </w:r>
      <w:proofErr w:type="gramEnd"/>
      <w:r>
        <w:rPr>
          <w:rFonts w:ascii="PMingLiU-ExtB" w:eastAsia="PMingLiU-ExtB" w:hAnsi="PMingLiU-ExtB" w:hint="eastAsia"/>
          <w:sz w:val="24"/>
          <w:szCs w:val="24"/>
          <w:lang w:val="en-US"/>
        </w:rPr>
        <w:t xml:space="preserve"> year 2014-15 / Assessment Year 2015-16. </w:t>
      </w:r>
    </w:p>
    <w:p w:rsidR="00772B6D" w:rsidRDefault="00772B6D"/>
    <w:p w:rsidR="00360748" w:rsidRDefault="00360748"/>
    <w:p w:rsidR="00772B6D" w:rsidRPr="00360748" w:rsidRDefault="00772B6D" w:rsidP="00772B6D">
      <w:pPr>
        <w:rPr>
          <w:rFonts w:ascii="PMingLiU-ExtB" w:eastAsia="PMingLiU-ExtB" w:hAnsi="PMingLiU-ExtB"/>
          <w:b/>
          <w:sz w:val="24"/>
          <w:szCs w:val="24"/>
          <w:lang w:val="en-US"/>
        </w:rPr>
      </w:pPr>
      <w:r w:rsidRPr="00360748">
        <w:rPr>
          <w:rFonts w:ascii="PMingLiU-ExtB" w:eastAsia="PMingLiU-ExtB" w:hAnsi="PMingLiU-ExtB" w:hint="eastAsia"/>
          <w:b/>
          <w:sz w:val="24"/>
          <w:szCs w:val="24"/>
          <w:lang w:val="en-US"/>
        </w:rPr>
        <w:t xml:space="preserve">Withdrawal </w:t>
      </w:r>
      <w:r w:rsidRPr="00360748">
        <w:rPr>
          <w:rFonts w:ascii="PMingLiU-ExtB" w:eastAsia="PMingLiU-ExtB" w:hAnsi="PMingLiU-ExtB"/>
          <w:b/>
          <w:sz w:val="24"/>
          <w:szCs w:val="24"/>
          <w:lang w:val="en-US"/>
        </w:rPr>
        <w:t>of VPF</w:t>
      </w:r>
    </w:p>
    <w:p w:rsidR="00772B6D" w:rsidRDefault="00772B6D" w:rsidP="00772B6D">
      <w:pPr>
        <w:rPr>
          <w:rFonts w:ascii="PMingLiU-ExtB" w:eastAsia="PMingLiU-ExtB" w:hAnsi="PMingLiU-ExtB"/>
          <w:sz w:val="24"/>
          <w:szCs w:val="24"/>
          <w:lang w:val="en-US"/>
        </w:rPr>
      </w:pPr>
    </w:p>
    <w:p w:rsidR="00772B6D" w:rsidRDefault="00772B6D" w:rsidP="00772B6D">
      <w:pPr>
        <w:rPr>
          <w:rFonts w:ascii="PMingLiU-ExtB" w:eastAsia="PMingLiU-ExtB" w:hAnsi="PMingLiU-ExtB"/>
          <w:sz w:val="24"/>
          <w:szCs w:val="24"/>
          <w:lang w:val="en-US"/>
        </w:rPr>
      </w:pPr>
      <w:r>
        <w:rPr>
          <w:rFonts w:ascii="PMingLiU-ExtB" w:eastAsia="PMingLiU-ExtB" w:hAnsi="PMingLiU-ExtB" w:hint="eastAsia"/>
          <w:sz w:val="24"/>
          <w:szCs w:val="24"/>
          <w:lang w:val="en-US"/>
        </w:rPr>
        <w:t xml:space="preserve">There are no separate provisions under The EPF Act governing the withdrawal of VPF. </w:t>
      </w:r>
      <w:r>
        <w:rPr>
          <w:rFonts w:ascii="PMingLiU-ExtB" w:eastAsia="PMingLiU-ExtB" w:hAnsi="PMingLiU-ExtB"/>
          <w:sz w:val="24"/>
          <w:szCs w:val="24"/>
          <w:lang w:val="en-US"/>
        </w:rPr>
        <w:t>As such, the same process and rules are applicable to withdrawal of funds from PF are also applicable to</w:t>
      </w:r>
      <w:r>
        <w:rPr>
          <w:rFonts w:ascii="PMingLiU-ExtB" w:eastAsia="PMingLiU-ExtB" w:hAnsi="PMingLiU-ExtB" w:hint="eastAsia"/>
          <w:sz w:val="24"/>
          <w:szCs w:val="24"/>
          <w:lang w:val="en-US"/>
        </w:rPr>
        <w:t xml:space="preserve"> VPF</w:t>
      </w:r>
      <w:r>
        <w:rPr>
          <w:rFonts w:ascii="PMingLiU-ExtB" w:eastAsia="PMingLiU-ExtB" w:hAnsi="PMingLiU-ExtB"/>
          <w:sz w:val="24"/>
          <w:szCs w:val="24"/>
          <w:lang w:val="en-US"/>
        </w:rPr>
        <w:t>, which</w:t>
      </w:r>
      <w:r>
        <w:rPr>
          <w:rFonts w:ascii="PMingLiU-ExtB" w:eastAsia="PMingLiU-ExtB" w:hAnsi="PMingLiU-ExtB" w:hint="eastAsia"/>
          <w:sz w:val="24"/>
          <w:szCs w:val="24"/>
          <w:lang w:val="en-US"/>
        </w:rPr>
        <w:t xml:space="preserve"> is part of employee share. While doing the withdrawal employee has to opt for a </w:t>
      </w:r>
      <w:r>
        <w:rPr>
          <w:rFonts w:ascii="PMingLiU-ExtB" w:eastAsia="PMingLiU-ExtB" w:hAnsi="PMingLiU-ExtB"/>
          <w:sz w:val="24"/>
          <w:szCs w:val="24"/>
          <w:lang w:val="en-US"/>
        </w:rPr>
        <w:t>purpose that</w:t>
      </w:r>
      <w:r>
        <w:rPr>
          <w:rFonts w:ascii="PMingLiU-ExtB" w:eastAsia="PMingLiU-ExtB" w:hAnsi="PMingLiU-ExtB" w:hint="eastAsia"/>
          <w:sz w:val="24"/>
          <w:szCs w:val="24"/>
          <w:lang w:val="en-US"/>
        </w:rPr>
        <w:t xml:space="preserve"> allows the withdrawal of employee share. There are various parameters which govern the withdrawal from PF e.g. period of service, purpose for which withdrawal is needed etc. which will allow a member to do the withdrawal.</w:t>
      </w:r>
      <w:bookmarkStart w:id="0" w:name="_GoBack"/>
      <w:bookmarkEnd w:id="0"/>
    </w:p>
    <w:p w:rsidR="00E276CE" w:rsidRDefault="00E276CE" w:rsidP="00772B6D">
      <w:pPr>
        <w:rPr>
          <w:rFonts w:ascii="PMingLiU-ExtB" w:eastAsia="PMingLiU-ExtB" w:hAnsi="PMingLiU-ExtB"/>
          <w:sz w:val="24"/>
          <w:szCs w:val="24"/>
          <w:lang w:val="en-US"/>
        </w:rPr>
      </w:pPr>
    </w:p>
    <w:p w:rsidR="00E276CE" w:rsidRDefault="00E276CE" w:rsidP="00772B6D">
      <w:pPr>
        <w:rPr>
          <w:rFonts w:ascii="PMingLiU-ExtB" w:eastAsia="PMingLiU-ExtB" w:hAnsi="PMingLiU-ExtB"/>
          <w:sz w:val="24"/>
          <w:szCs w:val="24"/>
          <w:lang w:val="en-US"/>
        </w:rPr>
      </w:pPr>
    </w:p>
    <w:p w:rsidR="00772B6D" w:rsidRDefault="00772B6D"/>
    <w:sectPr w:rsidR="00772B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BB" w:rsidRDefault="004850BB" w:rsidP="00E276CE">
      <w:r>
        <w:separator/>
      </w:r>
    </w:p>
  </w:endnote>
  <w:endnote w:type="continuationSeparator" w:id="0">
    <w:p w:rsidR="004850BB" w:rsidRDefault="004850BB" w:rsidP="00E2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CE" w:rsidRDefault="00E276CE" w:rsidP="00E276CE">
    <w:pPr>
      <w:pStyle w:val="Footer"/>
      <w:jc w:val="center"/>
    </w:pPr>
    <w:r w:rsidRPr="00E276CE">
      <w:t>https://blog.sgcservices.com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BB" w:rsidRDefault="004850BB" w:rsidP="00E276CE">
      <w:r>
        <w:separator/>
      </w:r>
    </w:p>
  </w:footnote>
  <w:footnote w:type="continuationSeparator" w:id="0">
    <w:p w:rsidR="004850BB" w:rsidRDefault="004850BB" w:rsidP="00E27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6D"/>
    <w:rsid w:val="00360748"/>
    <w:rsid w:val="004850BB"/>
    <w:rsid w:val="00772B6D"/>
    <w:rsid w:val="007D5719"/>
    <w:rsid w:val="009A4CA6"/>
    <w:rsid w:val="00E2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6D"/>
    <w:pPr>
      <w:spacing w:after="0" w:line="240" w:lineRule="auto"/>
    </w:pPr>
    <w:rPr>
      <w:rFonts w:ascii="Calibri"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6CE"/>
    <w:pPr>
      <w:tabs>
        <w:tab w:val="center" w:pos="4680"/>
        <w:tab w:val="right" w:pos="9360"/>
      </w:tabs>
    </w:pPr>
  </w:style>
  <w:style w:type="character" w:customStyle="1" w:styleId="HeaderChar">
    <w:name w:val="Header Char"/>
    <w:basedOn w:val="DefaultParagraphFont"/>
    <w:link w:val="Header"/>
    <w:uiPriority w:val="99"/>
    <w:rsid w:val="00E276CE"/>
    <w:rPr>
      <w:rFonts w:ascii="Calibri" w:hAnsi="Calibri" w:cs="Calibri"/>
      <w:lang w:val="en-IN" w:eastAsia="en-IN"/>
    </w:rPr>
  </w:style>
  <w:style w:type="paragraph" w:styleId="Footer">
    <w:name w:val="footer"/>
    <w:basedOn w:val="Normal"/>
    <w:link w:val="FooterChar"/>
    <w:uiPriority w:val="99"/>
    <w:unhideWhenUsed/>
    <w:rsid w:val="00E276CE"/>
    <w:pPr>
      <w:tabs>
        <w:tab w:val="center" w:pos="4680"/>
        <w:tab w:val="right" w:pos="9360"/>
      </w:tabs>
    </w:pPr>
  </w:style>
  <w:style w:type="character" w:customStyle="1" w:styleId="FooterChar">
    <w:name w:val="Footer Char"/>
    <w:basedOn w:val="DefaultParagraphFont"/>
    <w:link w:val="Footer"/>
    <w:uiPriority w:val="99"/>
    <w:rsid w:val="00E276CE"/>
    <w:rPr>
      <w:rFonts w:ascii="Calibri" w:hAnsi="Calibri" w:cs="Calibri"/>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6D"/>
    <w:pPr>
      <w:spacing w:after="0" w:line="240" w:lineRule="auto"/>
    </w:pPr>
    <w:rPr>
      <w:rFonts w:ascii="Calibri"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6CE"/>
    <w:pPr>
      <w:tabs>
        <w:tab w:val="center" w:pos="4680"/>
        <w:tab w:val="right" w:pos="9360"/>
      </w:tabs>
    </w:pPr>
  </w:style>
  <w:style w:type="character" w:customStyle="1" w:styleId="HeaderChar">
    <w:name w:val="Header Char"/>
    <w:basedOn w:val="DefaultParagraphFont"/>
    <w:link w:val="Header"/>
    <w:uiPriority w:val="99"/>
    <w:rsid w:val="00E276CE"/>
    <w:rPr>
      <w:rFonts w:ascii="Calibri" w:hAnsi="Calibri" w:cs="Calibri"/>
      <w:lang w:val="en-IN" w:eastAsia="en-IN"/>
    </w:rPr>
  </w:style>
  <w:style w:type="paragraph" w:styleId="Footer">
    <w:name w:val="footer"/>
    <w:basedOn w:val="Normal"/>
    <w:link w:val="FooterChar"/>
    <w:uiPriority w:val="99"/>
    <w:unhideWhenUsed/>
    <w:rsid w:val="00E276CE"/>
    <w:pPr>
      <w:tabs>
        <w:tab w:val="center" w:pos="4680"/>
        <w:tab w:val="right" w:pos="9360"/>
      </w:tabs>
    </w:pPr>
  </w:style>
  <w:style w:type="character" w:customStyle="1" w:styleId="FooterChar">
    <w:name w:val="Footer Char"/>
    <w:basedOn w:val="DefaultParagraphFont"/>
    <w:link w:val="Footer"/>
    <w:uiPriority w:val="99"/>
    <w:rsid w:val="00E276CE"/>
    <w:rPr>
      <w:rFonts w:ascii="Calibri" w:hAnsi="Calibri" w:cs="Calibri"/>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4904">
      <w:bodyDiv w:val="1"/>
      <w:marLeft w:val="0"/>
      <w:marRight w:val="0"/>
      <w:marTop w:val="0"/>
      <w:marBottom w:val="0"/>
      <w:divBdr>
        <w:top w:val="none" w:sz="0" w:space="0" w:color="auto"/>
        <w:left w:val="none" w:sz="0" w:space="0" w:color="auto"/>
        <w:bottom w:val="none" w:sz="0" w:space="0" w:color="auto"/>
        <w:right w:val="none" w:sz="0" w:space="0" w:color="auto"/>
      </w:divBdr>
    </w:div>
    <w:div w:id="1479112572">
      <w:bodyDiv w:val="1"/>
      <w:marLeft w:val="0"/>
      <w:marRight w:val="0"/>
      <w:marTop w:val="0"/>
      <w:marBottom w:val="0"/>
      <w:divBdr>
        <w:top w:val="none" w:sz="0" w:space="0" w:color="auto"/>
        <w:left w:val="none" w:sz="0" w:space="0" w:color="auto"/>
        <w:bottom w:val="none" w:sz="0" w:space="0" w:color="auto"/>
        <w:right w:val="none" w:sz="0" w:space="0" w:color="auto"/>
      </w:divBdr>
    </w:div>
    <w:div w:id="1623851355">
      <w:bodyDiv w:val="1"/>
      <w:marLeft w:val="0"/>
      <w:marRight w:val="0"/>
      <w:marTop w:val="0"/>
      <w:marBottom w:val="0"/>
      <w:divBdr>
        <w:top w:val="none" w:sz="0" w:space="0" w:color="auto"/>
        <w:left w:val="none" w:sz="0" w:space="0" w:color="auto"/>
        <w:bottom w:val="none" w:sz="0" w:space="0" w:color="auto"/>
        <w:right w:val="none" w:sz="0" w:space="0" w:color="auto"/>
      </w:divBdr>
    </w:div>
    <w:div w:id="19713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Subodh K. Kaura</dc:creator>
  <cp:lastModifiedBy>Ajit</cp:lastModifiedBy>
  <cp:revision>4</cp:revision>
  <dcterms:created xsi:type="dcterms:W3CDTF">2018-04-17T11:11:00Z</dcterms:created>
  <dcterms:modified xsi:type="dcterms:W3CDTF">2018-04-17T11:12:00Z</dcterms:modified>
</cp:coreProperties>
</file>